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B7F" w:rsidRDefault="00655B7F" w:rsidP="00976C70">
      <w:pPr>
        <w:jc w:val="center"/>
      </w:pPr>
      <w:r>
        <w:object w:dxaOrig="11260" w:dyaOrig="11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44pt" o:ole="">
            <v:imagedata r:id="rId6" o:title=""/>
          </v:shape>
          <o:OLEObject Type="Embed" ProgID="CorelDRAW.Graphic.13" ShapeID="_x0000_i1025" DrawAspect="Content" ObjectID="_1361443390" r:id="rId7"/>
        </w:object>
      </w:r>
    </w:p>
    <w:p w:rsidR="00976C70" w:rsidRPr="00976C70" w:rsidRDefault="00976C70" w:rsidP="00976C70">
      <w:pPr>
        <w:jc w:val="center"/>
        <w:rPr>
          <w:b/>
          <w:sz w:val="36"/>
          <w:szCs w:val="36"/>
        </w:rPr>
      </w:pPr>
      <w:r w:rsidRPr="00976C70">
        <w:rPr>
          <w:b/>
          <w:sz w:val="36"/>
          <w:szCs w:val="36"/>
        </w:rPr>
        <w:t>Universidad de Guadalajara</w:t>
      </w:r>
    </w:p>
    <w:p w:rsidR="00976C70" w:rsidRPr="00976C70" w:rsidRDefault="00976C70" w:rsidP="00976C70">
      <w:pPr>
        <w:jc w:val="center"/>
        <w:rPr>
          <w:b/>
        </w:rPr>
      </w:pPr>
    </w:p>
    <w:p w:rsidR="00976C70" w:rsidRPr="00976C70" w:rsidRDefault="00976C70" w:rsidP="00976C70">
      <w:pPr>
        <w:jc w:val="center"/>
        <w:rPr>
          <w:b/>
        </w:rPr>
      </w:pPr>
      <w:r w:rsidRPr="00976C70">
        <w:rPr>
          <w:b/>
        </w:rPr>
        <w:t xml:space="preserve">FONDO CONCURRENTE PARA INCREMENTO DE LA MATRICUAL EN EDUCACION SUPERIOR DE LAS UNIVERSIDADES </w:t>
      </w:r>
      <w:r w:rsidR="00414954" w:rsidRPr="00976C70">
        <w:rPr>
          <w:b/>
        </w:rPr>
        <w:t>PÚBLICAS</w:t>
      </w:r>
      <w:r w:rsidRPr="00976C70">
        <w:rPr>
          <w:b/>
        </w:rPr>
        <w:t xml:space="preserve"> ESTATALES Y CON APOYO SOLIDARIO</w:t>
      </w:r>
      <w:r w:rsidR="009C3F6D">
        <w:rPr>
          <w:b/>
        </w:rPr>
        <w:t xml:space="preserve"> 2010</w:t>
      </w:r>
    </w:p>
    <w:p w:rsidR="00976C70" w:rsidRPr="00976C70" w:rsidRDefault="00976C70" w:rsidP="00976C70">
      <w:pPr>
        <w:jc w:val="center"/>
        <w:rPr>
          <w:b/>
        </w:rPr>
      </w:pPr>
      <w:r w:rsidRPr="00976C70">
        <w:rPr>
          <w:b/>
        </w:rPr>
        <w:t>INFORME ACADÉMICO</w:t>
      </w:r>
    </w:p>
    <w:p w:rsidR="00976C70" w:rsidRDefault="00976C70" w:rsidP="00144C23">
      <w:pPr>
        <w:jc w:val="both"/>
      </w:pPr>
    </w:p>
    <w:p w:rsidR="00976C70" w:rsidRDefault="00FB7C08" w:rsidP="009C3F6D">
      <w:pPr>
        <w:jc w:val="both"/>
      </w:pPr>
      <w:r>
        <w:t>En el año 2010 la Universidad de Guadalajara obtuvo por medio de este fondo un monto de 61,162,862.13, los cuales se ejercerán específicamente en acciones relativas al incremento de</w:t>
      </w:r>
      <w:r w:rsidRPr="00FB7C08">
        <w:t xml:space="preserve"> matrícula en programas educativos de </w:t>
      </w:r>
      <w:r w:rsidR="00652B29">
        <w:t>pregrado</w:t>
      </w:r>
      <w:r w:rsidRPr="00FB7C08">
        <w:t xml:space="preserve"> y posgrado r</w:t>
      </w:r>
      <w:r>
        <w:t xml:space="preserve">econocidos por su buena calidad, la ampliación de </w:t>
      </w:r>
      <w:r w:rsidRPr="00FB7C08">
        <w:t xml:space="preserve">la oferta </w:t>
      </w:r>
      <w:r>
        <w:t>educativa</w:t>
      </w:r>
      <w:r w:rsidR="00FF7DD9">
        <w:t xml:space="preserve">, </w:t>
      </w:r>
      <w:r>
        <w:t>el fortalecimiento de</w:t>
      </w:r>
      <w:r w:rsidRPr="00FB7C08">
        <w:t xml:space="preserve"> los estándares de calidad de progra</w:t>
      </w:r>
      <w:r>
        <w:t>mas educativos que aún no cuenta</w:t>
      </w:r>
      <w:r w:rsidRPr="00FB7C08">
        <w:t>n con una generación de egresados</w:t>
      </w:r>
      <w:r>
        <w:t>, y el incremento de</w:t>
      </w:r>
      <w:r w:rsidRPr="00FB7C08">
        <w:t xml:space="preserve"> la capacidad física disponible para la admisi</w:t>
      </w:r>
      <w:r>
        <w:t>ón de alumnos, liberando espacios</w:t>
      </w:r>
      <w:r w:rsidRPr="00FB7C08">
        <w:t xml:space="preserve"> físicos de cursos presenciales </w:t>
      </w:r>
      <w:r w:rsidR="00DC05C3">
        <w:t xml:space="preserve">para que se ofrezcan </w:t>
      </w:r>
      <w:r w:rsidRPr="00FB7C08">
        <w:t xml:space="preserve">en modalidad </w:t>
      </w:r>
      <w:proofErr w:type="spellStart"/>
      <w:r w:rsidRPr="00FB7C08">
        <w:t>semipresencial</w:t>
      </w:r>
      <w:proofErr w:type="spellEnd"/>
      <w:r w:rsidRPr="00FB7C08">
        <w:t xml:space="preserve"> o a distancia</w:t>
      </w:r>
      <w:r w:rsidR="00FF7DD9">
        <w:t>.</w:t>
      </w:r>
    </w:p>
    <w:p w:rsidR="00DC05C3" w:rsidRDefault="00DC05C3" w:rsidP="00DC05C3">
      <w:pPr>
        <w:jc w:val="both"/>
      </w:pPr>
      <w:r>
        <w:t>De manera más específica se pretende l</w:t>
      </w:r>
      <w:r w:rsidR="00FB7C08" w:rsidRPr="00FB7C08">
        <w:t xml:space="preserve">ograr </w:t>
      </w:r>
      <w:r w:rsidR="00064ECD">
        <w:t>un incremento de</w:t>
      </w:r>
      <w:r w:rsidR="00FB7C08" w:rsidRPr="00FB7C08">
        <w:t xml:space="preserve"> la matrícula</w:t>
      </w:r>
      <w:r w:rsidR="008B3A2B">
        <w:t xml:space="preserve"> de pregrado y posgrado,</w:t>
      </w:r>
      <w:r w:rsidR="00FB7C08" w:rsidRPr="00FB7C08">
        <w:t xml:space="preserve"> para el año 2011</w:t>
      </w:r>
      <w:r w:rsidR="008B3A2B">
        <w:t>, de aproximadamente 3,402</w:t>
      </w:r>
      <w:r w:rsidR="00FB7C08" w:rsidRPr="00FB7C08">
        <w:t xml:space="preserve"> </w:t>
      </w:r>
      <w:r w:rsidR="008B3A2B">
        <w:t xml:space="preserve">alumnos, </w:t>
      </w:r>
      <w:r w:rsidR="00AF5996">
        <w:t xml:space="preserve">mediante la ampliación de la infraestructura de </w:t>
      </w:r>
      <w:r w:rsidR="00FB7C08" w:rsidRPr="00FB7C08">
        <w:t xml:space="preserve">46 programas </w:t>
      </w:r>
      <w:r w:rsidR="00FF7DD9">
        <w:t xml:space="preserve">existentes de pregrado y posgrado </w:t>
      </w:r>
      <w:r w:rsidR="00FB7C08" w:rsidRPr="00FB7C08">
        <w:t>acreditados y</w:t>
      </w:r>
      <w:r>
        <w:t xml:space="preserve"> evaluados por su buena calidad y la apertura de</w:t>
      </w:r>
      <w:r w:rsidRPr="00FB7C08">
        <w:t xml:space="preserve"> programas educativos pertinentes para e</w:t>
      </w:r>
      <w:r>
        <w:t>l desarrollo estatal y regional.</w:t>
      </w:r>
    </w:p>
    <w:tbl>
      <w:tblPr>
        <w:tblStyle w:val="Sombreadomedio2-nfasis5"/>
        <w:tblW w:w="0" w:type="auto"/>
        <w:tblLayout w:type="fixed"/>
        <w:tblLook w:val="0620" w:firstRow="1" w:lastRow="0" w:firstColumn="0" w:lastColumn="0" w:noHBand="1" w:noVBand="1"/>
      </w:tblPr>
      <w:tblGrid>
        <w:gridCol w:w="8188"/>
        <w:gridCol w:w="866"/>
      </w:tblGrid>
      <w:tr w:rsidR="00695AD2" w:rsidTr="00671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188" w:type="dxa"/>
            <w:noWrap/>
          </w:tcPr>
          <w:p w:rsidR="00212BA6" w:rsidRDefault="00212BA6">
            <w:r>
              <w:t>Evolución de los principales indicadores de capacidad y competitividad</w:t>
            </w:r>
          </w:p>
        </w:tc>
        <w:tc>
          <w:tcPr>
            <w:tcW w:w="866" w:type="dxa"/>
          </w:tcPr>
          <w:p w:rsidR="00212BA6" w:rsidRPr="00212BA6" w:rsidRDefault="00212BA6" w:rsidP="0067169D">
            <w:pPr>
              <w:jc w:val="right"/>
              <w:rPr>
                <w:b w:val="0"/>
              </w:rPr>
            </w:pPr>
          </w:p>
        </w:tc>
      </w:tr>
      <w:tr w:rsidR="00695AD2" w:rsidRPr="00212BA6" w:rsidTr="0067169D">
        <w:tc>
          <w:tcPr>
            <w:tcW w:w="8188" w:type="dxa"/>
            <w:noWrap/>
          </w:tcPr>
          <w:p w:rsidR="00212BA6" w:rsidRPr="00212BA6" w:rsidRDefault="00212BA6">
            <w:pPr>
              <w:rPr>
                <w:sz w:val="20"/>
              </w:rPr>
            </w:pPr>
            <w:r w:rsidRPr="00212BA6">
              <w:rPr>
                <w:sz w:val="20"/>
              </w:rPr>
              <w:t>PE de Licenciatura y TSU acreditados por organismos reconocidos por el COPAES y otros</w:t>
            </w:r>
          </w:p>
        </w:tc>
        <w:tc>
          <w:tcPr>
            <w:tcW w:w="866" w:type="dxa"/>
          </w:tcPr>
          <w:p w:rsidR="00212BA6" w:rsidRPr="00212BA6" w:rsidRDefault="00212BA6" w:rsidP="0067169D">
            <w:pPr>
              <w:pStyle w:val="DecimalAligned"/>
              <w:jc w:val="righ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</w:tr>
      <w:tr w:rsidR="00695AD2" w:rsidRPr="00212BA6" w:rsidTr="0067169D">
        <w:tc>
          <w:tcPr>
            <w:tcW w:w="8188" w:type="dxa"/>
            <w:noWrap/>
          </w:tcPr>
          <w:p w:rsidR="00212BA6" w:rsidRPr="00212BA6" w:rsidRDefault="00212BA6">
            <w:pPr>
              <w:rPr>
                <w:sz w:val="20"/>
              </w:rPr>
            </w:pPr>
            <w:r>
              <w:rPr>
                <w:sz w:val="20"/>
              </w:rPr>
              <w:t>Dictámenes de PE evaluados en Nivel 1 por los CIEES</w:t>
            </w:r>
          </w:p>
        </w:tc>
        <w:tc>
          <w:tcPr>
            <w:tcW w:w="866" w:type="dxa"/>
          </w:tcPr>
          <w:p w:rsidR="00212BA6" w:rsidRPr="00212BA6" w:rsidRDefault="00212BA6" w:rsidP="0067169D">
            <w:pPr>
              <w:pStyle w:val="DecimalAligned"/>
              <w:jc w:val="righ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 w:rsidR="00695AD2" w:rsidRPr="00212BA6" w:rsidTr="0067169D">
        <w:tc>
          <w:tcPr>
            <w:tcW w:w="8188" w:type="dxa"/>
            <w:noWrap/>
          </w:tcPr>
          <w:p w:rsidR="00212BA6" w:rsidRPr="00212BA6" w:rsidRDefault="00212BA6" w:rsidP="00695AD2">
            <w:pPr>
              <w:rPr>
                <w:sz w:val="20"/>
              </w:rPr>
            </w:pPr>
            <w:r>
              <w:rPr>
                <w:sz w:val="20"/>
              </w:rPr>
              <w:t xml:space="preserve">Dictámenes de PE evaluados en Nivel 1 por los CIEES considerando el número de </w:t>
            </w:r>
            <w:r w:rsidR="00695AD2">
              <w:rPr>
                <w:sz w:val="20"/>
              </w:rPr>
              <w:t>orientaciones y/o sedes</w:t>
            </w:r>
          </w:p>
        </w:tc>
        <w:tc>
          <w:tcPr>
            <w:tcW w:w="866" w:type="dxa"/>
          </w:tcPr>
          <w:p w:rsidR="00212BA6" w:rsidRPr="00212BA6" w:rsidRDefault="00695AD2" w:rsidP="0067169D">
            <w:pPr>
              <w:pStyle w:val="DecimalAligned"/>
              <w:jc w:val="righ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</w:tr>
      <w:tr w:rsidR="0067169D" w:rsidRPr="00212BA6" w:rsidTr="0067169D">
        <w:tc>
          <w:tcPr>
            <w:tcW w:w="8188" w:type="dxa"/>
            <w:noWrap/>
          </w:tcPr>
          <w:p w:rsidR="0067169D" w:rsidRDefault="0067169D" w:rsidP="00695AD2">
            <w:pPr>
              <w:rPr>
                <w:sz w:val="20"/>
              </w:rPr>
            </w:pPr>
            <w:r>
              <w:rPr>
                <w:sz w:val="20"/>
              </w:rPr>
              <w:t xml:space="preserve">PE de Posgrado en PNPC </w:t>
            </w:r>
            <w:proofErr w:type="spellStart"/>
            <w:r>
              <w:rPr>
                <w:sz w:val="20"/>
              </w:rPr>
              <w:t>CONACyT</w:t>
            </w:r>
            <w:proofErr w:type="spellEnd"/>
          </w:p>
        </w:tc>
        <w:tc>
          <w:tcPr>
            <w:tcW w:w="866" w:type="dxa"/>
          </w:tcPr>
          <w:p w:rsidR="0067169D" w:rsidRDefault="0067169D" w:rsidP="0067169D">
            <w:pPr>
              <w:pStyle w:val="DecimalAligned"/>
              <w:jc w:val="righ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</w:tr>
      <w:tr w:rsidR="0067169D" w:rsidRPr="00212BA6" w:rsidTr="0067169D">
        <w:tc>
          <w:tcPr>
            <w:tcW w:w="8188" w:type="dxa"/>
            <w:noWrap/>
          </w:tcPr>
          <w:p w:rsidR="0067169D" w:rsidRDefault="0067169D" w:rsidP="0067169D">
            <w:pPr>
              <w:rPr>
                <w:sz w:val="20"/>
              </w:rPr>
            </w:pPr>
            <w:r w:rsidRPr="0067169D">
              <w:rPr>
                <w:sz w:val="20"/>
              </w:rPr>
              <w:t>Matrícula de Posgrado en PE evaluables de calidad reconocida</w:t>
            </w:r>
          </w:p>
        </w:tc>
        <w:tc>
          <w:tcPr>
            <w:tcW w:w="866" w:type="dxa"/>
          </w:tcPr>
          <w:p w:rsidR="0067169D" w:rsidRDefault="0067169D" w:rsidP="0067169D">
            <w:pPr>
              <w:pStyle w:val="DecimalAligned"/>
              <w:jc w:val="right"/>
              <w:rPr>
                <w:sz w:val="20"/>
              </w:rPr>
            </w:pPr>
            <w:r>
              <w:rPr>
                <w:sz w:val="20"/>
              </w:rPr>
              <w:t>2,536</w:t>
            </w:r>
          </w:p>
        </w:tc>
      </w:tr>
      <w:tr w:rsidR="0067169D" w:rsidRPr="00212BA6" w:rsidTr="0067169D">
        <w:tc>
          <w:tcPr>
            <w:tcW w:w="8188" w:type="dxa"/>
            <w:noWrap/>
          </w:tcPr>
          <w:p w:rsidR="0067169D" w:rsidRPr="0067169D" w:rsidRDefault="0067169D" w:rsidP="0067169D">
            <w:pPr>
              <w:rPr>
                <w:sz w:val="20"/>
              </w:rPr>
            </w:pPr>
            <w:r>
              <w:rPr>
                <w:sz w:val="20"/>
              </w:rPr>
              <w:t>Matrícula</w:t>
            </w:r>
            <w:r w:rsidRPr="0067169D">
              <w:rPr>
                <w:sz w:val="20"/>
              </w:rPr>
              <w:t xml:space="preserve"> de Licenciatura y TSU en PE evaluables de calidad reconocida</w:t>
            </w:r>
          </w:p>
        </w:tc>
        <w:tc>
          <w:tcPr>
            <w:tcW w:w="866" w:type="dxa"/>
          </w:tcPr>
          <w:p w:rsidR="0067169D" w:rsidRDefault="0067169D" w:rsidP="0067169D">
            <w:pPr>
              <w:pStyle w:val="DecimalAligned"/>
              <w:jc w:val="right"/>
              <w:rPr>
                <w:sz w:val="20"/>
              </w:rPr>
            </w:pPr>
            <w:r w:rsidRPr="0067169D">
              <w:rPr>
                <w:sz w:val="20"/>
              </w:rPr>
              <w:t>71,118</w:t>
            </w:r>
          </w:p>
        </w:tc>
      </w:tr>
    </w:tbl>
    <w:p w:rsidR="00212BA6" w:rsidRDefault="00695AD2">
      <w:pPr>
        <w:pStyle w:val="Textonotapie"/>
        <w:rPr>
          <w:rStyle w:val="nfasissutil"/>
          <w:i w:val="0"/>
          <w:color w:val="000000" w:themeColor="text1"/>
          <w:sz w:val="16"/>
        </w:rPr>
      </w:pPr>
      <w:r w:rsidRPr="00695AD2">
        <w:rPr>
          <w:rStyle w:val="nfasissutil"/>
          <w:b/>
          <w:i w:val="0"/>
          <w:color w:val="000000" w:themeColor="text1"/>
          <w:sz w:val="16"/>
        </w:rPr>
        <w:t>FUENTE</w:t>
      </w:r>
      <w:r w:rsidRPr="00695AD2">
        <w:rPr>
          <w:rStyle w:val="nfasissutil"/>
          <w:i w:val="0"/>
          <w:color w:val="000000" w:themeColor="text1"/>
          <w:sz w:val="16"/>
        </w:rPr>
        <w:t xml:space="preserve">: </w:t>
      </w:r>
      <w:proofErr w:type="spellStart"/>
      <w:r w:rsidR="0067169D">
        <w:rPr>
          <w:rStyle w:val="nfasissutil"/>
          <w:color w:val="000000" w:themeColor="text1"/>
          <w:sz w:val="16"/>
        </w:rPr>
        <w:t>Numeralia</w:t>
      </w:r>
      <w:proofErr w:type="spellEnd"/>
      <w:r w:rsidR="0067169D">
        <w:rPr>
          <w:rStyle w:val="nfasissutil"/>
          <w:color w:val="000000" w:themeColor="text1"/>
          <w:sz w:val="16"/>
        </w:rPr>
        <w:t xml:space="preserve"> Institucional,</w:t>
      </w:r>
      <w:r w:rsidR="0067169D">
        <w:rPr>
          <w:rStyle w:val="nfasissutil"/>
          <w:i w:val="0"/>
          <w:color w:val="000000" w:themeColor="text1"/>
          <w:sz w:val="16"/>
        </w:rPr>
        <w:t xml:space="preserve"> </w:t>
      </w:r>
      <w:r w:rsidRPr="00695AD2">
        <w:rPr>
          <w:rStyle w:val="nfasissutil"/>
          <w:i w:val="0"/>
          <w:color w:val="000000" w:themeColor="text1"/>
          <w:sz w:val="16"/>
        </w:rPr>
        <w:t xml:space="preserve">Coordinación General </w:t>
      </w:r>
      <w:r w:rsidR="0067169D">
        <w:rPr>
          <w:rStyle w:val="nfasissutil"/>
          <w:i w:val="0"/>
          <w:color w:val="000000" w:themeColor="text1"/>
          <w:sz w:val="16"/>
        </w:rPr>
        <w:t xml:space="preserve">de Planeación y Desarrollo Institucional (COPLADI), Universidad de Guadalajara, </w:t>
      </w:r>
      <w:r w:rsidRPr="00695AD2">
        <w:rPr>
          <w:rStyle w:val="nfasissutil"/>
          <w:i w:val="0"/>
          <w:color w:val="000000" w:themeColor="text1"/>
          <w:sz w:val="16"/>
        </w:rPr>
        <w:t>febrero 2011</w:t>
      </w:r>
      <w:r w:rsidR="0067169D">
        <w:rPr>
          <w:rStyle w:val="nfasissutil"/>
          <w:i w:val="0"/>
          <w:color w:val="000000" w:themeColor="text1"/>
          <w:sz w:val="16"/>
        </w:rPr>
        <w:t xml:space="preserve">, </w:t>
      </w:r>
      <w:hyperlink r:id="rId8" w:history="1">
        <w:r w:rsidR="0067169D" w:rsidRPr="00900401">
          <w:rPr>
            <w:rStyle w:val="Hipervnculo"/>
            <w:sz w:val="16"/>
            <w:szCs w:val="22"/>
          </w:rPr>
          <w:t>http://copladi.udg.mx/</w:t>
        </w:r>
      </w:hyperlink>
      <w:r w:rsidR="0067169D">
        <w:rPr>
          <w:rStyle w:val="nfasissutil"/>
          <w:i w:val="0"/>
          <w:color w:val="000000" w:themeColor="text1"/>
          <w:sz w:val="16"/>
        </w:rPr>
        <w:t xml:space="preserve"> </w:t>
      </w:r>
    </w:p>
    <w:p w:rsidR="00695AD2" w:rsidRPr="00695AD2" w:rsidRDefault="00695AD2">
      <w:pPr>
        <w:pStyle w:val="Textonotapie"/>
        <w:rPr>
          <w:color w:val="000000" w:themeColor="text1"/>
          <w:sz w:val="16"/>
        </w:rPr>
      </w:pPr>
      <w:r>
        <w:rPr>
          <w:b/>
          <w:color w:val="000000" w:themeColor="text1"/>
          <w:sz w:val="16"/>
        </w:rPr>
        <w:t>NOTA:</w:t>
      </w:r>
      <w:r>
        <w:rPr>
          <w:color w:val="000000" w:themeColor="text1"/>
          <w:sz w:val="16"/>
        </w:rPr>
        <w:t xml:space="preserve"> La distribución de PE acreditados es: 2 de Técnico Superior Universitario, 87 de Licenciatura. Además se cuenta con 2 programas de Profesional Medio acreditados haciendo un total de 91 PE acreditados.</w:t>
      </w:r>
    </w:p>
    <w:p w:rsidR="00212BA6" w:rsidRDefault="00212BA6" w:rsidP="00DC05C3">
      <w:pPr>
        <w:jc w:val="both"/>
      </w:pPr>
    </w:p>
    <w:p w:rsidR="00655B7F" w:rsidRDefault="00655B7F" w:rsidP="00DC05C3">
      <w:pPr>
        <w:jc w:val="both"/>
      </w:pPr>
    </w:p>
    <w:p w:rsidR="00655B7F" w:rsidRDefault="00655B7F" w:rsidP="00DC05C3">
      <w:pPr>
        <w:jc w:val="both"/>
      </w:pPr>
    </w:p>
    <w:p w:rsidR="00655B7F" w:rsidRDefault="00655B7F" w:rsidP="00DC05C3">
      <w:pPr>
        <w:jc w:val="both"/>
      </w:pPr>
    </w:p>
    <w:p w:rsidR="00655B7F" w:rsidRDefault="00655B7F" w:rsidP="00DC05C3">
      <w:pPr>
        <w:jc w:val="both"/>
      </w:pPr>
      <w:r>
        <w:object w:dxaOrig="11260" w:dyaOrig="1132">
          <v:shape id="_x0000_i1026" type="#_x0000_t75" style="width:441pt;height:44pt" o:ole="">
            <v:imagedata r:id="rId6" o:title=""/>
          </v:shape>
          <o:OLEObject Type="Embed" ProgID="CorelDRAW.Graphic.13" ShapeID="_x0000_i1026" DrawAspect="Content" ObjectID="_1361443391" r:id="rId9"/>
        </w:object>
      </w:r>
      <w:bookmarkStart w:id="0" w:name="_GoBack"/>
      <w:bookmarkEnd w:id="0"/>
    </w:p>
    <w:p w:rsidR="00655B7F" w:rsidRDefault="00655B7F" w:rsidP="00DC05C3">
      <w:pPr>
        <w:jc w:val="both"/>
      </w:pPr>
    </w:p>
    <w:p w:rsidR="00655B7F" w:rsidRDefault="00655B7F" w:rsidP="00DC05C3">
      <w:pPr>
        <w:jc w:val="both"/>
      </w:pPr>
    </w:p>
    <w:p w:rsidR="00064ECD" w:rsidRDefault="00DC05C3" w:rsidP="00DC05C3">
      <w:pPr>
        <w:jc w:val="both"/>
      </w:pPr>
      <w:r>
        <w:t xml:space="preserve">El incremento de </w:t>
      </w:r>
      <w:r w:rsidR="00AF5996">
        <w:t xml:space="preserve">la </w:t>
      </w:r>
      <w:r>
        <w:t xml:space="preserve">matrícula </w:t>
      </w:r>
      <w:r w:rsidR="00AF5996">
        <w:t xml:space="preserve">en los programas existentes </w:t>
      </w:r>
      <w:r>
        <w:t xml:space="preserve">y la apertura de nuevos programas requieren </w:t>
      </w:r>
      <w:r w:rsidR="00FF7DD9">
        <w:t xml:space="preserve">también </w:t>
      </w:r>
      <w:r>
        <w:t>la c</w:t>
      </w:r>
      <w:r w:rsidR="00FB7C08" w:rsidRPr="00FB7C08">
        <w:t>onstrucción</w:t>
      </w:r>
      <w:r w:rsidR="00FF7DD9">
        <w:t xml:space="preserve"> </w:t>
      </w:r>
      <w:r w:rsidR="00A9170B">
        <w:t xml:space="preserve">y acondicionamiento </w:t>
      </w:r>
      <w:r w:rsidR="00FB7C08" w:rsidRPr="00FB7C08">
        <w:t>de espacios físicos</w:t>
      </w:r>
      <w:r w:rsidR="00AF5996">
        <w:t xml:space="preserve"> adecuados</w:t>
      </w:r>
      <w:r w:rsidR="00FB7C08" w:rsidRPr="00FB7C08">
        <w:t xml:space="preserve"> para que</w:t>
      </w:r>
      <w:r>
        <w:t>, por ejemplo,</w:t>
      </w:r>
      <w:r w:rsidR="00FB7C08" w:rsidRPr="00FB7C08">
        <w:t xml:space="preserve"> los estudiantes de posgrado actuales y de nuevo ingreso puedan realizar las sesiones teóricas, sus prácticas de campo y en laboratorio sin decremento de los niveles de la calidad alcanzados actualmente.</w:t>
      </w:r>
      <w:r>
        <w:t xml:space="preserve"> </w:t>
      </w:r>
    </w:p>
    <w:p w:rsidR="00FB7C08" w:rsidRDefault="00DC05C3" w:rsidP="00DC05C3">
      <w:pPr>
        <w:jc w:val="both"/>
      </w:pPr>
      <w:r>
        <w:t>Dichos espacios r</w:t>
      </w:r>
      <w:r w:rsidR="00064ECD">
        <w:t>equieren también materiales,</w:t>
      </w:r>
      <w:r>
        <w:t xml:space="preserve"> mobiliarios </w:t>
      </w:r>
      <w:r w:rsidR="00064ECD">
        <w:t xml:space="preserve">y tecnología de punta </w:t>
      </w:r>
      <w:r>
        <w:t xml:space="preserve">que garantice no sólo </w:t>
      </w:r>
      <w:r w:rsidR="00FB7C08" w:rsidRPr="00FB7C08">
        <w:t xml:space="preserve">la calidad de la enseñanza </w:t>
      </w:r>
      <w:r>
        <w:t>sino también</w:t>
      </w:r>
      <w:r w:rsidR="00FB7C08" w:rsidRPr="00FB7C08">
        <w:t xml:space="preserve"> </w:t>
      </w:r>
      <w:r w:rsidR="00A9170B">
        <w:t xml:space="preserve">el adecuado desarrollo </w:t>
      </w:r>
      <w:r>
        <w:t xml:space="preserve">de las actividades relacionadas con </w:t>
      </w:r>
      <w:r w:rsidR="00064ECD">
        <w:t xml:space="preserve">la producción científica, </w:t>
      </w:r>
      <w:r w:rsidR="00064ECD" w:rsidRPr="00FB7C08">
        <w:t>bajo parámetros nacionales e internacionales.</w:t>
      </w:r>
    </w:p>
    <w:p w:rsidR="00FB7C08" w:rsidRDefault="00064ECD" w:rsidP="009C3F6D">
      <w:pPr>
        <w:jc w:val="both"/>
      </w:pPr>
      <w:r>
        <w:t xml:space="preserve">Para asegurar el desarrollo equilibrado de los programas educativos se requiere también  apoyar </w:t>
      </w:r>
      <w:r w:rsidR="00571D34">
        <w:t xml:space="preserve">a aquellos programas educativos </w:t>
      </w:r>
      <w:r w:rsidR="00D978B6">
        <w:t xml:space="preserve">que no han sido evaluados y/o acreditados por ser </w:t>
      </w:r>
      <w:r>
        <w:t>de reciente creación</w:t>
      </w:r>
      <w:r w:rsidR="00D978B6">
        <w:t xml:space="preserve"> y que </w:t>
      </w:r>
      <w:r>
        <w:t xml:space="preserve">aún no cuentan con una generación de </w:t>
      </w:r>
      <w:r w:rsidR="00FB7C08" w:rsidRPr="00FB7C08">
        <w:t>egresados</w:t>
      </w:r>
      <w:r w:rsidR="00D978B6">
        <w:t>.</w:t>
      </w:r>
    </w:p>
    <w:p w:rsidR="00064ECD" w:rsidRDefault="00064ECD" w:rsidP="00064ECD">
      <w:pPr>
        <w:jc w:val="both"/>
      </w:pPr>
      <w:r>
        <w:t>Al momento de la elaboración del presente informe se han ejercido 3</w:t>
      </w:r>
      <w:proofErr w:type="gramStart"/>
      <w:r>
        <w:t>,390,338.27</w:t>
      </w:r>
      <w:proofErr w:type="gramEnd"/>
      <w:r>
        <w:t xml:space="preserve">, principalmente en la habilitación de </w:t>
      </w:r>
      <w:r w:rsidRPr="00064ECD">
        <w:t>espacios suficientes para atender el incremento de matrícula que se genere por la apertura de nuevos programas de pregrado y posgrado</w:t>
      </w:r>
      <w:r>
        <w:t xml:space="preserve">, y </w:t>
      </w:r>
      <w:r w:rsidR="00D978B6">
        <w:t xml:space="preserve">también en </w:t>
      </w:r>
      <w:r>
        <w:t xml:space="preserve">la </w:t>
      </w:r>
      <w:r w:rsidR="00D978B6">
        <w:t xml:space="preserve">construcción </w:t>
      </w:r>
      <w:r>
        <w:t>de</w:t>
      </w:r>
      <w:r w:rsidRPr="00064ECD">
        <w:t xml:space="preserve"> obras nuevas y </w:t>
      </w:r>
      <w:r w:rsidR="00D978B6">
        <w:t xml:space="preserve">en </w:t>
      </w:r>
      <w:r w:rsidRPr="00064ECD">
        <w:t>las adecuaciones necesarias a espacios existentes para aumentar la recepción de alumnos.</w:t>
      </w:r>
    </w:p>
    <w:sectPr w:rsidR="00064ECD" w:rsidSect="00B21B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4C23"/>
    <w:rsid w:val="00064ECD"/>
    <w:rsid w:val="00144C23"/>
    <w:rsid w:val="00212BA6"/>
    <w:rsid w:val="003916BA"/>
    <w:rsid w:val="00414954"/>
    <w:rsid w:val="00571D34"/>
    <w:rsid w:val="00652B29"/>
    <w:rsid w:val="00655B7F"/>
    <w:rsid w:val="0067169D"/>
    <w:rsid w:val="00695AD2"/>
    <w:rsid w:val="00891218"/>
    <w:rsid w:val="008B3A2B"/>
    <w:rsid w:val="00976C70"/>
    <w:rsid w:val="009C3F6D"/>
    <w:rsid w:val="00A64883"/>
    <w:rsid w:val="00A9170B"/>
    <w:rsid w:val="00A92D16"/>
    <w:rsid w:val="00AF5996"/>
    <w:rsid w:val="00B21B57"/>
    <w:rsid w:val="00BD0A7C"/>
    <w:rsid w:val="00D978B6"/>
    <w:rsid w:val="00DC05C3"/>
    <w:rsid w:val="00DC66A7"/>
    <w:rsid w:val="00E3286C"/>
    <w:rsid w:val="00F42816"/>
    <w:rsid w:val="00FB7C08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B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212BA6"/>
    <w:pPr>
      <w:tabs>
        <w:tab w:val="decimal" w:pos="360"/>
      </w:tabs>
    </w:pPr>
    <w:rPr>
      <w:rFonts w:eastAsiaTheme="minorEastAsia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212BA6"/>
    <w:pPr>
      <w:spacing w:after="0" w:line="240" w:lineRule="auto"/>
    </w:pPr>
    <w:rPr>
      <w:rFonts w:eastAsiaTheme="minorEastAsia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12BA6"/>
    <w:rPr>
      <w:rFonts w:eastAsiaTheme="minorEastAsia"/>
      <w:sz w:val="20"/>
      <w:szCs w:val="20"/>
      <w:lang w:val="es-ES"/>
    </w:rPr>
  </w:style>
  <w:style w:type="character" w:styleId="nfasissutil">
    <w:name w:val="Subtle Emphasis"/>
    <w:basedOn w:val="Fuentedeprrafopredeter"/>
    <w:uiPriority w:val="19"/>
    <w:qFormat/>
    <w:rsid w:val="00212BA6"/>
    <w:rPr>
      <w:rFonts w:eastAsiaTheme="minorEastAsia" w:cstheme="minorBidi"/>
      <w:bCs w:val="0"/>
      <w:i/>
      <w:iCs/>
      <w:color w:val="808080" w:themeColor="text1" w:themeTint="7F"/>
      <w:szCs w:val="22"/>
      <w:lang w:val="es-ES"/>
    </w:rPr>
  </w:style>
  <w:style w:type="table" w:customStyle="1" w:styleId="Sombreadoclaro-nfasis11">
    <w:name w:val="Sombreado claro - Énfasis 11"/>
    <w:basedOn w:val="Tablanormal"/>
    <w:uiPriority w:val="60"/>
    <w:rsid w:val="00212BA6"/>
    <w:pPr>
      <w:spacing w:after="0" w:line="240" w:lineRule="auto"/>
    </w:pPr>
    <w:rPr>
      <w:rFonts w:eastAsiaTheme="minorEastAsia"/>
      <w:color w:val="365F91" w:themeColor="accent1" w:themeShade="BF"/>
      <w:lang w:val="es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medio2-nfasis5">
    <w:name w:val="Medium Shading 2 Accent 5"/>
    <w:basedOn w:val="Tablanormal"/>
    <w:uiPriority w:val="64"/>
    <w:rsid w:val="00212BA6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6716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pladi.udg.mx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FF71F-6761-4A83-8294-A98EC0F6B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Patricia Medrano</cp:lastModifiedBy>
  <cp:revision>7</cp:revision>
  <cp:lastPrinted>2011-03-12T18:20:00Z</cp:lastPrinted>
  <dcterms:created xsi:type="dcterms:W3CDTF">2011-03-12T18:15:00Z</dcterms:created>
  <dcterms:modified xsi:type="dcterms:W3CDTF">2011-03-12T19:57:00Z</dcterms:modified>
</cp:coreProperties>
</file>